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6C0E" w14:textId="25D0D6E2" w:rsidR="008D5E2A" w:rsidRDefault="008E3C83" w:rsidP="008D5E2A">
      <w:pPr>
        <w:pStyle w:val="NormalWeb"/>
      </w:pPr>
      <w:bookmarkStart w:id="0" w:name="_GoBack"/>
      <w:bookmarkEnd w:id="0"/>
      <w:r>
        <w:rPr>
          <w:rFonts w:ascii="Arial" w:hAnsi="Arial" w:cs="Arial"/>
          <w:b/>
          <w:noProof/>
          <w:color w:val="201F1E"/>
        </w:rPr>
        <w:drawing>
          <wp:anchor distT="0" distB="0" distL="114300" distR="114300" simplePos="0" relativeHeight="251661312" behindDoc="0" locked="0" layoutInCell="1" allowOverlap="1" wp14:anchorId="1EBA407B" wp14:editId="6A4879D6">
            <wp:simplePos x="0" y="0"/>
            <wp:positionH relativeFrom="column">
              <wp:posOffset>103505</wp:posOffset>
            </wp:positionH>
            <wp:positionV relativeFrom="paragraph">
              <wp:posOffset>26670</wp:posOffset>
            </wp:positionV>
            <wp:extent cx="977900" cy="897255"/>
            <wp:effectExtent l="0" t="0" r="0" b="0"/>
            <wp:wrapNone/>
            <wp:docPr id="4" name="Image 4" descr="C:\Users\YAHYA CSFV TPF\AppData\Local\Packages\Microsoft.Office.Desktop_8wekyb3d8bbwe\AC\INetCache\Content.MSO\211C8DB.tmp">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HYA CSFV TPF\AppData\Local\Packages\Microsoft.Office.Desktop_8wekyb3d8bbwe\AC\INetCache\Content.MSO\211C8D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C452E8C" wp14:editId="704FDC2D">
            <wp:simplePos x="0" y="0"/>
            <wp:positionH relativeFrom="column">
              <wp:posOffset>4650105</wp:posOffset>
            </wp:positionH>
            <wp:positionV relativeFrom="paragraph">
              <wp:posOffset>22225</wp:posOffset>
            </wp:positionV>
            <wp:extent cx="952500" cy="900430"/>
            <wp:effectExtent l="0" t="0" r="0" b="0"/>
            <wp:wrapNone/>
            <wp:docPr id="3" name="Image 3" descr="https://upload.wikimedia.org/wikipedia/fr/d/df/Logo_SUD_P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fr/d/df/Logo_SUD_PT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201F1E"/>
        </w:rPr>
        <w:tab/>
        <w:t xml:space="preserve">     </w:t>
      </w:r>
      <w:r>
        <w:rPr>
          <w:rFonts w:ascii="Arial" w:hAnsi="Arial" w:cs="Arial"/>
          <w:b/>
          <w:color w:val="201F1E"/>
        </w:rPr>
        <w:tab/>
      </w:r>
      <w:r>
        <w:rPr>
          <w:noProof/>
        </w:rPr>
        <w:t xml:space="preserve">                  </w:t>
      </w:r>
      <w:r>
        <w:rPr>
          <w:rFonts w:ascii="Arial" w:hAnsi="Arial" w:cs="Arial"/>
          <w:b/>
          <w:noProof/>
          <w:color w:val="201F1E"/>
        </w:rPr>
        <w:drawing>
          <wp:inline distT="0" distB="0" distL="0" distR="0" wp14:anchorId="57D3F149" wp14:editId="78DC6F42">
            <wp:extent cx="927100" cy="920750"/>
            <wp:effectExtent l="0" t="0" r="6350" b="0"/>
            <wp:docPr id="1" name="Image 1" descr="C:\Users\YAHYA CSFV TPF\AppData\Local\Packages\Microsoft.Office.Desktop_8wekyb3d8bbwe\AC\INetCache\Content.MSO\F8A18ABB.t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HYA CSFV TPF\AppData\Local\Packages\Microsoft.Office.Desktop_8wekyb3d8bbwe\AC\INetCache\Content.MSO\F8A18ABB.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7100" cy="920750"/>
                    </a:xfrm>
                    <a:prstGeom prst="rect">
                      <a:avLst/>
                    </a:prstGeom>
                    <a:noFill/>
                    <a:ln>
                      <a:noFill/>
                    </a:ln>
                  </pic:spPr>
                </pic:pic>
              </a:graphicData>
            </a:graphic>
          </wp:inline>
        </w:drawing>
      </w:r>
      <w:r>
        <w:rPr>
          <w:noProof/>
        </w:rPr>
        <w:t xml:space="preserve">           </w:t>
      </w:r>
      <w:r w:rsidR="008D5E2A">
        <w:rPr>
          <w:noProof/>
        </w:rPr>
        <w:tab/>
      </w:r>
      <w:r w:rsidR="008D5E2A">
        <w:rPr>
          <w:noProof/>
        </w:rPr>
        <w:drawing>
          <wp:inline distT="0" distB="0" distL="0" distR="0" wp14:anchorId="3BDEB3B7" wp14:editId="10035C31">
            <wp:extent cx="875030" cy="990600"/>
            <wp:effectExtent l="0" t="0" r="1270" b="0"/>
            <wp:docPr id="16148171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8" cy="1000673"/>
                    </a:xfrm>
                    <a:prstGeom prst="rect">
                      <a:avLst/>
                    </a:prstGeom>
                    <a:noFill/>
                    <a:ln>
                      <a:noFill/>
                    </a:ln>
                  </pic:spPr>
                </pic:pic>
              </a:graphicData>
            </a:graphic>
          </wp:inline>
        </w:drawing>
      </w:r>
    </w:p>
    <w:p w14:paraId="4581E6AC" w14:textId="354F3CDD" w:rsidR="008E3C83" w:rsidRDefault="008E3C83" w:rsidP="008D5E2A">
      <w:pPr>
        <w:tabs>
          <w:tab w:val="left" w:pos="708"/>
          <w:tab w:val="left" w:pos="1416"/>
          <w:tab w:val="left" w:pos="2124"/>
          <w:tab w:val="left" w:pos="2832"/>
          <w:tab w:val="left" w:pos="3540"/>
          <w:tab w:val="left" w:pos="4248"/>
          <w:tab w:val="left" w:pos="5655"/>
        </w:tabs>
        <w:rPr>
          <w:rFonts w:ascii="Arial" w:eastAsia="Times New Roman" w:hAnsi="Arial" w:cs="Arial"/>
          <w:b/>
          <w:color w:val="201F1E"/>
          <w:sz w:val="24"/>
          <w:szCs w:val="24"/>
          <w:lang w:eastAsia="fr-FR"/>
        </w:rPr>
      </w:pPr>
    </w:p>
    <w:p w14:paraId="128087F8" w14:textId="67F99FA0" w:rsidR="008075CE" w:rsidRDefault="008E3C83" w:rsidP="00DF31BE">
      <w:pPr>
        <w:jc w:val="center"/>
        <w:rPr>
          <w:rFonts w:ascii="Arial" w:eastAsia="Times New Roman" w:hAnsi="Arial" w:cs="Arial"/>
          <w:b/>
          <w:color w:val="201F1E"/>
          <w:sz w:val="24"/>
          <w:szCs w:val="24"/>
          <w:lang w:eastAsia="fr-FR"/>
        </w:rPr>
      </w:pPr>
      <w:r w:rsidRPr="00D601B4">
        <w:rPr>
          <w:rFonts w:ascii="Arial" w:eastAsia="Times New Roman" w:hAnsi="Arial" w:cs="Arial"/>
          <w:b/>
          <w:color w:val="201F1E"/>
          <w:sz w:val="24"/>
          <w:szCs w:val="24"/>
          <w:lang w:eastAsia="fr-FR"/>
        </w:rPr>
        <w:t>NEGOCIAT</w:t>
      </w:r>
      <w:r>
        <w:rPr>
          <w:rFonts w:ascii="Arial" w:eastAsia="Times New Roman" w:hAnsi="Arial" w:cs="Arial"/>
          <w:b/>
          <w:color w:val="201F1E"/>
          <w:sz w:val="24"/>
          <w:szCs w:val="24"/>
          <w:lang w:eastAsia="fr-FR"/>
        </w:rPr>
        <w:t xml:space="preserve">IONS ANNUELLES OBLIGATOIRES 2024-Teleperformance </w:t>
      </w:r>
      <w:r w:rsidR="00DF31BE">
        <w:rPr>
          <w:rFonts w:ascii="Arial" w:eastAsia="Times New Roman" w:hAnsi="Arial" w:cs="Arial"/>
          <w:b/>
          <w:color w:val="201F1E"/>
          <w:sz w:val="24"/>
          <w:szCs w:val="24"/>
          <w:lang w:eastAsia="fr-FR"/>
        </w:rPr>
        <w:t>France</w:t>
      </w:r>
    </w:p>
    <w:p w14:paraId="4BB1B849" w14:textId="77777777" w:rsidR="00DF31BE" w:rsidRPr="00DF31BE" w:rsidRDefault="00DF31BE" w:rsidP="00DF31BE">
      <w:pPr>
        <w:jc w:val="center"/>
        <w:rPr>
          <w:rFonts w:ascii="Arial" w:eastAsia="Times New Roman" w:hAnsi="Arial" w:cs="Arial"/>
          <w:b/>
          <w:color w:val="201F1E"/>
          <w:sz w:val="16"/>
          <w:szCs w:val="16"/>
          <w:lang w:eastAsia="fr-FR"/>
        </w:rPr>
      </w:pPr>
    </w:p>
    <w:p w14:paraId="67ECFC0C" w14:textId="77777777" w:rsidR="008075CE" w:rsidRDefault="008075CE" w:rsidP="00DF31BE">
      <w:pPr>
        <w:ind w:left="-567"/>
        <w:jc w:val="both"/>
        <w:rPr>
          <w:sz w:val="24"/>
          <w:szCs w:val="24"/>
        </w:rPr>
      </w:pPr>
      <w:r w:rsidRPr="008075CE">
        <w:rPr>
          <w:sz w:val="24"/>
          <w:szCs w:val="24"/>
        </w:rPr>
        <w:t>A l’issue de la réunion de négociation du 7 mai 2024 portant sur les NAO Bloc 1 (rémunération), la Direction est restée figée dans sa position initiale au détriment de négociations sincères et loyales.</w:t>
      </w:r>
    </w:p>
    <w:p w14:paraId="098E5917" w14:textId="77777777" w:rsidR="008075CE" w:rsidRPr="008075CE" w:rsidRDefault="008075CE" w:rsidP="00DF31BE">
      <w:pPr>
        <w:ind w:left="-567"/>
        <w:jc w:val="both"/>
        <w:rPr>
          <w:sz w:val="24"/>
          <w:szCs w:val="24"/>
        </w:rPr>
      </w:pPr>
      <w:r w:rsidRPr="008075CE">
        <w:rPr>
          <w:sz w:val="24"/>
          <w:szCs w:val="24"/>
        </w:rPr>
        <w:t>La Direction rejette toute discussion concernant les deux revendications formulées par l’intersyndicale à savoir :</w:t>
      </w:r>
    </w:p>
    <w:p w14:paraId="34FC7D14" w14:textId="77777777" w:rsidR="00834E60" w:rsidRPr="00C44F90" w:rsidRDefault="00834E60" w:rsidP="00DF31BE">
      <w:pPr>
        <w:ind w:left="-567"/>
        <w:jc w:val="both"/>
        <w:rPr>
          <w:sz w:val="16"/>
          <w:szCs w:val="16"/>
        </w:rPr>
      </w:pPr>
    </w:p>
    <w:p w14:paraId="55574B2C" w14:textId="77777777" w:rsidR="008075CE" w:rsidRPr="008075CE" w:rsidRDefault="00834E60" w:rsidP="00DF31BE">
      <w:pPr>
        <w:ind w:left="-567"/>
        <w:jc w:val="both"/>
        <w:rPr>
          <w:sz w:val="24"/>
          <w:szCs w:val="24"/>
        </w:rPr>
      </w:pPr>
      <w:r>
        <w:rPr>
          <w:sz w:val="24"/>
          <w:szCs w:val="24"/>
        </w:rPr>
        <w:t xml:space="preserve">- </w:t>
      </w:r>
      <w:r w:rsidR="008075CE" w:rsidRPr="008075CE">
        <w:rPr>
          <w:sz w:val="24"/>
          <w:szCs w:val="24"/>
        </w:rPr>
        <w:t>Une augmentation générale des salaires de 100 euros.</w:t>
      </w:r>
    </w:p>
    <w:p w14:paraId="10EBA7D6" w14:textId="77777777" w:rsidR="008075CE" w:rsidRPr="008075CE" w:rsidRDefault="00834E60" w:rsidP="00DF31BE">
      <w:pPr>
        <w:ind w:left="-567"/>
        <w:jc w:val="both"/>
        <w:rPr>
          <w:sz w:val="24"/>
          <w:szCs w:val="24"/>
        </w:rPr>
      </w:pPr>
      <w:r>
        <w:rPr>
          <w:sz w:val="24"/>
          <w:szCs w:val="24"/>
        </w:rPr>
        <w:t xml:space="preserve">- </w:t>
      </w:r>
      <w:r w:rsidR="008075CE" w:rsidRPr="008075CE">
        <w:rPr>
          <w:sz w:val="24"/>
          <w:szCs w:val="24"/>
        </w:rPr>
        <w:t>Un doublement du montant de l'enveloppe pour les mesures annexes (de 350 000 € à 700 000 €), comprenant une prime de Partage de la Valeur Ajoutée.</w:t>
      </w:r>
    </w:p>
    <w:p w14:paraId="3B926FD8" w14:textId="77777777" w:rsidR="008075CE" w:rsidRPr="00C44F90" w:rsidRDefault="008075CE" w:rsidP="00DF31BE">
      <w:pPr>
        <w:ind w:left="-567"/>
        <w:jc w:val="both"/>
        <w:rPr>
          <w:sz w:val="16"/>
          <w:szCs w:val="16"/>
        </w:rPr>
      </w:pPr>
    </w:p>
    <w:p w14:paraId="7BD986A9" w14:textId="77777777" w:rsidR="008075CE" w:rsidRPr="008075CE" w:rsidRDefault="008075CE" w:rsidP="00DF31BE">
      <w:pPr>
        <w:ind w:left="-567"/>
        <w:jc w:val="both"/>
        <w:rPr>
          <w:sz w:val="24"/>
          <w:szCs w:val="24"/>
        </w:rPr>
      </w:pPr>
      <w:r w:rsidRPr="008075CE">
        <w:rPr>
          <w:sz w:val="24"/>
          <w:szCs w:val="24"/>
        </w:rPr>
        <w:t>La Direction refuse toute augmentation de salaires au motif de ne pas vouloir dégrader la compétitivité sur le marché, malgré l'absence d'avancées au niveau des négociations de branche. Cette stagnation salariale risque de perdurer, entraînant les salariés vers un rattrapage du SMIC et la réduction contrainte de leur pouvoir d’achat.</w:t>
      </w:r>
    </w:p>
    <w:p w14:paraId="630FEF63" w14:textId="77777777" w:rsidR="008075CE" w:rsidRPr="00C44F90" w:rsidRDefault="008075CE" w:rsidP="00DF31BE">
      <w:pPr>
        <w:ind w:left="-567"/>
        <w:jc w:val="both"/>
        <w:rPr>
          <w:sz w:val="16"/>
          <w:szCs w:val="16"/>
        </w:rPr>
      </w:pPr>
    </w:p>
    <w:p w14:paraId="755F9BAD" w14:textId="77777777" w:rsidR="008075CE" w:rsidRPr="008075CE" w:rsidRDefault="008075CE" w:rsidP="00DF31BE">
      <w:pPr>
        <w:ind w:left="-567"/>
        <w:jc w:val="both"/>
        <w:rPr>
          <w:sz w:val="24"/>
          <w:szCs w:val="24"/>
        </w:rPr>
      </w:pPr>
      <w:r w:rsidRPr="008075CE">
        <w:rPr>
          <w:sz w:val="24"/>
          <w:szCs w:val="24"/>
        </w:rPr>
        <w:t>Pour rappel, la Direction propose une enveloppe de seulement 350 000 euros pour l’année 2024, cotisations comprises, à répartir entre plus de 2000 salariés (soit environ 175 euros bruts/salarié). Cela se traduit par une hausse totalement insignifiante du pouvoir d'achat de seulement 48 cts € par jour.</w:t>
      </w:r>
    </w:p>
    <w:p w14:paraId="6FE43F92" w14:textId="77777777" w:rsidR="008075CE" w:rsidRPr="008075CE" w:rsidRDefault="008075CE" w:rsidP="00DF31BE">
      <w:pPr>
        <w:ind w:left="-567"/>
        <w:jc w:val="both"/>
        <w:rPr>
          <w:sz w:val="24"/>
          <w:szCs w:val="24"/>
        </w:rPr>
      </w:pPr>
      <w:r w:rsidRPr="008075CE">
        <w:rPr>
          <w:sz w:val="24"/>
          <w:szCs w:val="24"/>
        </w:rPr>
        <w:t>La direction jette son bout de gras en pâture et demande aux syndicats de se battre pour la répartition pour ne pas en assurer la responsabilité !!!</w:t>
      </w:r>
    </w:p>
    <w:p w14:paraId="2267AA78" w14:textId="77777777" w:rsidR="008075CE" w:rsidRPr="008075CE" w:rsidRDefault="008075CE" w:rsidP="00DF31BE">
      <w:pPr>
        <w:ind w:left="-567"/>
        <w:jc w:val="both"/>
        <w:rPr>
          <w:sz w:val="24"/>
          <w:szCs w:val="24"/>
        </w:rPr>
      </w:pPr>
      <w:r w:rsidRPr="008075CE">
        <w:rPr>
          <w:sz w:val="24"/>
          <w:szCs w:val="24"/>
        </w:rPr>
        <w:t xml:space="preserve">Face à cette situation, l’intersyndicale a décidé de mener une action nationale d’envergure et appel à une journée de mobilisation des salariés le 23 mai 2024, jour de l’assemblée générale mixte des actionnaires de </w:t>
      </w:r>
      <w:proofErr w:type="spellStart"/>
      <w:r w:rsidRPr="008075CE">
        <w:rPr>
          <w:sz w:val="24"/>
          <w:szCs w:val="24"/>
        </w:rPr>
        <w:t>Teleperformance</w:t>
      </w:r>
      <w:proofErr w:type="spellEnd"/>
      <w:r w:rsidRPr="008075CE">
        <w:rPr>
          <w:sz w:val="24"/>
          <w:szCs w:val="24"/>
        </w:rPr>
        <w:t xml:space="preserve"> où sera proclamé l’annonce du versement de dividendes exceptionnels, à savoir 244 millions € pour l’exercice 2023 !</w:t>
      </w:r>
    </w:p>
    <w:p w14:paraId="7E037CC1" w14:textId="77777777" w:rsidR="008075CE" w:rsidRPr="008075CE" w:rsidRDefault="008075CE" w:rsidP="00DF31BE">
      <w:pPr>
        <w:ind w:left="-567"/>
        <w:jc w:val="both"/>
        <w:rPr>
          <w:sz w:val="24"/>
          <w:szCs w:val="24"/>
        </w:rPr>
      </w:pPr>
      <w:r w:rsidRPr="008075CE">
        <w:rPr>
          <w:sz w:val="24"/>
          <w:szCs w:val="24"/>
        </w:rPr>
        <w:t xml:space="preserve">Des débrayages massifs seront réalisés sur l’ensemble des centres (y compris en télétravail) avec, en parallèle, un rassemblement organisé devant le siège de </w:t>
      </w:r>
      <w:proofErr w:type="spellStart"/>
      <w:r w:rsidRPr="008075CE">
        <w:rPr>
          <w:sz w:val="24"/>
          <w:szCs w:val="24"/>
        </w:rPr>
        <w:t>Teleperformance</w:t>
      </w:r>
      <w:proofErr w:type="spellEnd"/>
      <w:r w:rsidRPr="008075CE">
        <w:rPr>
          <w:sz w:val="24"/>
          <w:szCs w:val="24"/>
        </w:rPr>
        <w:t>, au 21-25 rue Balzac, à Paris.</w:t>
      </w:r>
    </w:p>
    <w:p w14:paraId="66D5FD09" w14:textId="77777777" w:rsidR="008075CE" w:rsidRPr="008075CE" w:rsidRDefault="00AD4D8D" w:rsidP="00DF31BE">
      <w:pPr>
        <w:ind w:left="-567"/>
        <w:jc w:val="both"/>
        <w:rPr>
          <w:sz w:val="24"/>
          <w:szCs w:val="24"/>
        </w:rPr>
      </w:pPr>
      <w:proofErr w:type="spellStart"/>
      <w:r>
        <w:rPr>
          <w:sz w:val="24"/>
          <w:szCs w:val="24"/>
        </w:rPr>
        <w:t>T</w:t>
      </w:r>
      <w:r w:rsidR="008075CE" w:rsidRPr="008075CE">
        <w:rPr>
          <w:sz w:val="24"/>
          <w:szCs w:val="24"/>
        </w:rPr>
        <w:t>eleperformance</w:t>
      </w:r>
      <w:proofErr w:type="spellEnd"/>
      <w:r w:rsidR="008075CE" w:rsidRPr="008075CE">
        <w:rPr>
          <w:sz w:val="24"/>
          <w:szCs w:val="24"/>
        </w:rPr>
        <w:t>, dont le PDG et fondateur a encore perçu une rémunération de 19,7 millions € en 2022 (soit 1453 fois le salaire moyen versé à ses salariés), exige de redresser la situation de sa filiale française après l’avoir mise dans le mur suite à de mauvaises décisions opérationnelles et en réalisant des économies sur les conditions de travail et de rémunération de salariés ! Quel avenir pour nous ?</w:t>
      </w:r>
    </w:p>
    <w:p w14:paraId="3A59251A" w14:textId="77777777" w:rsidR="008075CE" w:rsidRPr="008075CE" w:rsidRDefault="008075CE" w:rsidP="00DF31BE">
      <w:pPr>
        <w:ind w:left="-567"/>
        <w:jc w:val="both"/>
        <w:rPr>
          <w:sz w:val="24"/>
          <w:szCs w:val="24"/>
        </w:rPr>
      </w:pPr>
      <w:r w:rsidRPr="008075CE">
        <w:rPr>
          <w:sz w:val="24"/>
          <w:szCs w:val="24"/>
        </w:rPr>
        <w:t>Une réunion de négociation est encore prévue le 22 mai 2024. En amont, la Direction a indiqué qu’elle allait faire part des revendications de l’intersyndical « à M. RIGAUDY » (Directeur Général Délégué et Directeur financier du Groupe TELEPERFORMANCE, côté au CAC 40) et y faire son « compte-rendu ».</w:t>
      </w:r>
    </w:p>
    <w:p w14:paraId="08F12054" w14:textId="77777777" w:rsidR="008075CE" w:rsidRPr="00C44F90" w:rsidRDefault="008075CE" w:rsidP="00DF31BE">
      <w:pPr>
        <w:ind w:left="-567"/>
        <w:jc w:val="both"/>
        <w:rPr>
          <w:sz w:val="16"/>
          <w:szCs w:val="16"/>
        </w:rPr>
      </w:pPr>
    </w:p>
    <w:p w14:paraId="2571EDBD" w14:textId="77777777" w:rsidR="007F0481" w:rsidRDefault="008075CE" w:rsidP="00DF31BE">
      <w:pPr>
        <w:ind w:left="-567"/>
        <w:jc w:val="both"/>
        <w:rPr>
          <w:sz w:val="24"/>
          <w:szCs w:val="24"/>
        </w:rPr>
      </w:pPr>
      <w:r w:rsidRPr="008075CE">
        <w:rPr>
          <w:sz w:val="24"/>
          <w:szCs w:val="24"/>
        </w:rPr>
        <w:t>Enfin, l’intersyndicale saisira le conseil d'administration sur les capacités et pouvoirs de décision des négociateurs</w:t>
      </w:r>
      <w:r w:rsidR="00331E76">
        <w:rPr>
          <w:sz w:val="24"/>
          <w:szCs w:val="24"/>
        </w:rPr>
        <w:t xml:space="preserve"> qui représentent l'entreprise.</w:t>
      </w:r>
    </w:p>
    <w:p w14:paraId="7E2B490E" w14:textId="77777777" w:rsidR="00DF31BE" w:rsidRPr="00DF31BE" w:rsidRDefault="00DF31BE" w:rsidP="00DF31BE">
      <w:pPr>
        <w:ind w:left="-567"/>
        <w:jc w:val="both"/>
        <w:rPr>
          <w:sz w:val="16"/>
          <w:szCs w:val="16"/>
        </w:rPr>
      </w:pPr>
    </w:p>
    <w:p w14:paraId="41A7F1E6" w14:textId="77777777" w:rsidR="00DF31BE" w:rsidRDefault="00DF31BE" w:rsidP="00DF31BE">
      <w:pPr>
        <w:ind w:left="-567"/>
        <w:jc w:val="both"/>
        <w:rPr>
          <w:sz w:val="24"/>
          <w:szCs w:val="24"/>
        </w:rPr>
      </w:pPr>
      <w:r>
        <w:rPr>
          <w:sz w:val="24"/>
          <w:szCs w:val="24"/>
        </w:rPr>
        <w:t>Contact CFTC : Félicien OKOYO</w:t>
      </w:r>
    </w:p>
    <w:p w14:paraId="3670BF6E" w14:textId="4D2C9048" w:rsidR="00DF31BE" w:rsidRPr="00331E76" w:rsidRDefault="00DF31BE" w:rsidP="00DF31BE">
      <w:pPr>
        <w:ind w:left="-567"/>
        <w:jc w:val="both"/>
        <w:rPr>
          <w:sz w:val="24"/>
          <w:szCs w:val="24"/>
        </w:rPr>
      </w:pPr>
      <w:r>
        <w:rPr>
          <w:sz w:val="24"/>
          <w:szCs w:val="24"/>
        </w:rPr>
        <w:lastRenderedPageBreak/>
        <w:t xml:space="preserve">Délégué syndical central CFTC  / </w:t>
      </w:r>
      <w:hyperlink r:id="rId13" w:history="1">
        <w:r w:rsidRPr="00F24D24">
          <w:rPr>
            <w:rStyle w:val="Lienhypertexte"/>
            <w:sz w:val="24"/>
            <w:szCs w:val="24"/>
          </w:rPr>
          <w:t>okoyofelicien@cftc-4s.fr</w:t>
        </w:r>
      </w:hyperlink>
      <w:r>
        <w:rPr>
          <w:sz w:val="24"/>
          <w:szCs w:val="24"/>
        </w:rPr>
        <w:t xml:space="preserve"> / Tel : 06 66 74 93 46</w:t>
      </w:r>
    </w:p>
    <w:sectPr w:rsidR="00DF31BE" w:rsidRPr="00331E76" w:rsidSect="00834E60">
      <w:headerReference w:type="default" r:id="rId14"/>
      <w:footerReference w:type="default" r:id="rId15"/>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9990" w14:textId="77777777" w:rsidR="00BE132B" w:rsidRDefault="00BE132B" w:rsidP="007F0481">
      <w:r>
        <w:separator/>
      </w:r>
    </w:p>
  </w:endnote>
  <w:endnote w:type="continuationSeparator" w:id="0">
    <w:p w14:paraId="75035511" w14:textId="77777777" w:rsidR="00BE132B" w:rsidRDefault="00BE132B" w:rsidP="007F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AA6C" w14:textId="77777777" w:rsidR="007F0481" w:rsidRDefault="007F0481">
    <w:pPr>
      <w:pStyle w:val="Pieddepage"/>
    </w:pPr>
    <w:r>
      <w:t xml:space="preserve">Le 14 mai 2024 </w:t>
    </w:r>
  </w:p>
  <w:p w14:paraId="0FF2E9A6" w14:textId="77777777" w:rsidR="005018B9" w:rsidRDefault="00501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50B12" w14:textId="77777777" w:rsidR="00BE132B" w:rsidRDefault="00BE132B" w:rsidP="007F0481">
      <w:r>
        <w:separator/>
      </w:r>
    </w:p>
  </w:footnote>
  <w:footnote w:type="continuationSeparator" w:id="0">
    <w:p w14:paraId="24362ECE" w14:textId="77777777" w:rsidR="00BE132B" w:rsidRDefault="00BE132B" w:rsidP="007F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2233" w14:textId="77777777" w:rsidR="005018B9" w:rsidRDefault="00117D70">
    <w:pPr>
      <w:pStyle w:val="En-tte"/>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F6E4D"/>
    <w:multiLevelType w:val="hybridMultilevel"/>
    <w:tmpl w:val="88C2E0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6C602C2"/>
    <w:multiLevelType w:val="hybridMultilevel"/>
    <w:tmpl w:val="855212BC"/>
    <w:lvl w:ilvl="0" w:tplc="DECE12FA">
      <w:start w:val="3"/>
      <w:numFmt w:val="bullet"/>
      <w:lvlText w:val="-"/>
      <w:lvlJc w:val="left"/>
      <w:pPr>
        <w:ind w:left="720" w:hanging="360"/>
      </w:pPr>
      <w:rPr>
        <w:rFonts w:ascii="Helvetica" w:eastAsiaTheme="minorHAnsi" w:hAnsi="Helvetica" w:cs="Helvetica" w:hint="default"/>
        <w:color w:val="0B53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83"/>
    <w:rsid w:val="00117D70"/>
    <w:rsid w:val="002B76E5"/>
    <w:rsid w:val="002E0CE5"/>
    <w:rsid w:val="00331E76"/>
    <w:rsid w:val="00390DA8"/>
    <w:rsid w:val="003E4496"/>
    <w:rsid w:val="00447BE9"/>
    <w:rsid w:val="005018B9"/>
    <w:rsid w:val="00547B82"/>
    <w:rsid w:val="007F0481"/>
    <w:rsid w:val="008075CE"/>
    <w:rsid w:val="00834E60"/>
    <w:rsid w:val="008D5E2A"/>
    <w:rsid w:val="008E3C83"/>
    <w:rsid w:val="00AD4D8D"/>
    <w:rsid w:val="00BE132B"/>
    <w:rsid w:val="00C44F90"/>
    <w:rsid w:val="00C556A7"/>
    <w:rsid w:val="00C64E1B"/>
    <w:rsid w:val="00C75B30"/>
    <w:rsid w:val="00DE33D6"/>
    <w:rsid w:val="00DF3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DCA2"/>
  <w15:chartTrackingRefBased/>
  <w15:docId w15:val="{19989CD4-DF90-4D1B-9035-B01EA5AC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8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3C83"/>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8E3C83"/>
  </w:style>
  <w:style w:type="paragraph" w:styleId="Pieddepage">
    <w:name w:val="footer"/>
    <w:basedOn w:val="Normal"/>
    <w:link w:val="PieddepageCar"/>
    <w:uiPriority w:val="99"/>
    <w:unhideWhenUsed/>
    <w:rsid w:val="008E3C83"/>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8E3C83"/>
  </w:style>
  <w:style w:type="paragraph" w:styleId="Paragraphedeliste">
    <w:name w:val="List Paragraph"/>
    <w:basedOn w:val="Normal"/>
    <w:uiPriority w:val="34"/>
    <w:qFormat/>
    <w:rsid w:val="008E3C83"/>
    <w:pPr>
      <w:spacing w:after="160" w:line="259" w:lineRule="auto"/>
      <w:ind w:left="720"/>
      <w:contextualSpacing/>
    </w:pPr>
    <w:rPr>
      <w:rFonts w:asciiTheme="minorHAnsi" w:hAnsiTheme="minorHAnsi" w:cstheme="minorBidi"/>
    </w:rPr>
  </w:style>
  <w:style w:type="character" w:styleId="Lienhypertexte">
    <w:name w:val="Hyperlink"/>
    <w:basedOn w:val="Policepardfaut"/>
    <w:uiPriority w:val="99"/>
    <w:unhideWhenUsed/>
    <w:rsid w:val="00DF31BE"/>
    <w:rPr>
      <w:color w:val="0563C1" w:themeColor="hyperlink"/>
      <w:u w:val="single"/>
    </w:rPr>
  </w:style>
  <w:style w:type="character" w:customStyle="1" w:styleId="UnresolvedMention">
    <w:name w:val="Unresolved Mention"/>
    <w:basedOn w:val="Policepardfaut"/>
    <w:uiPriority w:val="99"/>
    <w:semiHidden/>
    <w:unhideWhenUsed/>
    <w:rsid w:val="00DF31BE"/>
    <w:rPr>
      <w:color w:val="605E5C"/>
      <w:shd w:val="clear" w:color="auto" w:fill="E1DFDD"/>
    </w:rPr>
  </w:style>
  <w:style w:type="paragraph" w:styleId="NormalWeb">
    <w:name w:val="Normal (Web)"/>
    <w:basedOn w:val="Normal"/>
    <w:uiPriority w:val="99"/>
    <w:semiHidden/>
    <w:unhideWhenUsed/>
    <w:rsid w:val="008D5E2A"/>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11399">
      <w:bodyDiv w:val="1"/>
      <w:marLeft w:val="0"/>
      <w:marRight w:val="0"/>
      <w:marTop w:val="0"/>
      <w:marBottom w:val="0"/>
      <w:divBdr>
        <w:top w:val="none" w:sz="0" w:space="0" w:color="auto"/>
        <w:left w:val="none" w:sz="0" w:space="0" w:color="auto"/>
        <w:bottom w:val="none" w:sz="0" w:space="0" w:color="auto"/>
        <w:right w:val="none" w:sz="0" w:space="0" w:color="auto"/>
      </w:divBdr>
    </w:div>
    <w:div w:id="761687143">
      <w:bodyDiv w:val="1"/>
      <w:marLeft w:val="0"/>
      <w:marRight w:val="0"/>
      <w:marTop w:val="0"/>
      <w:marBottom w:val="0"/>
      <w:divBdr>
        <w:top w:val="none" w:sz="0" w:space="0" w:color="auto"/>
        <w:left w:val="none" w:sz="0" w:space="0" w:color="auto"/>
        <w:bottom w:val="none" w:sz="0" w:space="0" w:color="auto"/>
        <w:right w:val="none" w:sz="0" w:space="0" w:color="auto"/>
      </w:divBdr>
    </w:div>
    <w:div w:id="1086341263">
      <w:bodyDiv w:val="1"/>
      <w:marLeft w:val="0"/>
      <w:marRight w:val="0"/>
      <w:marTop w:val="0"/>
      <w:marBottom w:val="0"/>
      <w:divBdr>
        <w:top w:val="none" w:sz="0" w:space="0" w:color="auto"/>
        <w:left w:val="none" w:sz="0" w:space="0" w:color="auto"/>
        <w:bottom w:val="none" w:sz="0" w:space="0" w:color="auto"/>
        <w:right w:val="none" w:sz="0" w:space="0" w:color="auto"/>
      </w:divBdr>
    </w:div>
    <w:div w:id="147764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oyofelicien@cftc-4s.fr" TargetMode="External"/><Relationship Id="rId3" Type="http://schemas.openxmlformats.org/officeDocument/2006/relationships/settings" Target="settings.xml"/><Relationship Id="rId7" Type="http://schemas.openxmlformats.org/officeDocument/2006/relationships/hyperlink" Target="https://www.google.fr/url?sa=i&amp;rct=j&amp;q=&amp;esrc=s&amp;source=images&amp;cd=&amp;ved=2ahUKEwjas9K2vobiAhWNlhQKHalVC98QjRx6BAgBEAU&amp;url=https://fr-fr.facebook.com/s3cnacfdt/posts&amp;psig=AOvVaw0Gf8IJJplwtK8qZ4vuLyva&amp;ust=1557217724991399"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fr/imgres?imgurl=https://melenchon.fr/wp-content/uploads/2015/10/logo-cgt-thierry-lepaon-melenchon.png&amp;imgrefurl=https://melenchon.fr/2013/04/28/lettre-ouverte-de-thierry-lepaon-cgt-au-president-de-la-republique/logo-cgt-thierry-lepaon-melenchon/&amp;docid=MCV9wqWNhwtuYM&amp;tbnid=6NXxVnYNWcc3SM:&amp;vet=10ahUKEwjmt9zzxIbiAhUNEBQKHQKHCN8QMwhGKAYwBg..i&amp;w=1600&amp;h=800&amp;bih=651&amp;biw=1366&amp;q=logo%20cgt&amp;ved=0ahUKEwjmt9zzxIbiAhUNEBQKHQKHCN8QMwhGKAYwBg&amp;iact=mrc&amp;uac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dc:creator>
  <cp:keywords/>
  <dc:description/>
  <cp:lastModifiedBy>rene-patrick herchuelz</cp:lastModifiedBy>
  <cp:revision>2</cp:revision>
  <dcterms:created xsi:type="dcterms:W3CDTF">2024-05-16T09:27:00Z</dcterms:created>
  <dcterms:modified xsi:type="dcterms:W3CDTF">2024-05-16T09:27:00Z</dcterms:modified>
</cp:coreProperties>
</file>